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Personhood vs behavior exercise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Most of us forget there’s a difference between personhood (who we are) and our behavior (what we do). Then we communicate in a way that has the other person feeling judged or unseen.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Notice the difference with this example: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When you </w:t>
      </w:r>
      <w:r w:rsidRPr="00000000" w:rsidR="00000000" w:rsidDel="00000000">
        <w:rPr>
          <w:i w:val="1"/>
          <w:rtl w:val="0"/>
        </w:rPr>
        <w:t xml:space="preserve">are</w:t>
      </w:r>
      <w:r w:rsidRPr="00000000" w:rsidR="00000000" w:rsidDel="00000000">
        <w:rPr>
          <w:rtl w:val="0"/>
        </w:rPr>
        <w:t xml:space="preserve"> mean, I feel scared and frustrated.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Now look at this example: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When you </w:t>
      </w:r>
      <w:r w:rsidRPr="00000000" w:rsidR="00000000" w:rsidDel="00000000">
        <w:rPr>
          <w:i w:val="1"/>
          <w:rtl w:val="0"/>
        </w:rPr>
        <w:t xml:space="preserve">act</w:t>
      </w:r>
      <w:r w:rsidRPr="00000000" w:rsidR="00000000" w:rsidDel="00000000">
        <w:rPr>
          <w:rtl w:val="0"/>
        </w:rPr>
        <w:t xml:space="preserve"> mean, I feel scared and frustrated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Here’s a simple formula to try out and practice.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When you _______(behavior), I feel ________(own my feeling) __________, and it has me ___________(action).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When you behave in that way, like raising your voice, I feel scared and it has me want to move backward and retreat.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This is very responsible communication and it goes a long way.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color w:val="222222"/>
          <w:sz w:val="20"/>
          <w:highlight w:val="white"/>
          <w:rtl w:val="0"/>
        </w:rPr>
        <w:t xml:space="preserve">© 2014 Jayson Gaddis.  All rights reserved.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0"/>
      <w:keepLines w:val="0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spacing w:lineRule="auto" w:after="0" w:before="200"/>
      <w:contextualSpacing w:val="1"/>
    </w:pPr>
    <w:rPr>
      <w:rFonts w:cs="Trebuchet MS" w:hAnsi="Trebuchet MS" w:eastAsia="Trebuchet MS" w:ascii="Trebuchet MS"/>
      <w:b w:val="0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b w:val="0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0"/>
      <w:keepLines w:val="0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0"/>
      <w:keepLines w:val="0"/>
      <w:spacing w:lineRule="auto" w:after="200" w:before="0"/>
      <w:contextualSpacing w:val="1"/>
    </w:pPr>
    <w:rPr>
      <w:rFonts w:cs="Trebuchet MS" w:hAnsi="Trebuchet MS" w:eastAsia="Trebuchet MS" w:ascii="Trebuchet MS"/>
      <w:i w:val="0"/>
      <w:color w:val="000000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Personhood Behavior.docx</dc:title>
</cp:coreProperties>
</file>